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A67AF" w14:textId="77777777" w:rsidR="00364C7D" w:rsidRDefault="00364C7D" w:rsidP="00B360B7">
      <w:pPr>
        <w:spacing w:after="0" w:line="240" w:lineRule="auto"/>
        <w:rPr>
          <w:b/>
          <w:sz w:val="28"/>
          <w:szCs w:val="28"/>
          <w:lang w:val="en-US"/>
        </w:rPr>
      </w:pPr>
      <w:bookmarkStart w:id="0" w:name="_GoBack"/>
      <w:bookmarkEnd w:id="0"/>
    </w:p>
    <w:p w14:paraId="509499D3" w14:textId="77777777" w:rsidR="00316B1C" w:rsidRPr="00E60672" w:rsidRDefault="00316B1C" w:rsidP="00E60672">
      <w:pPr>
        <w:jc w:val="both"/>
        <w:rPr>
          <w:lang w:val="en-US"/>
        </w:rPr>
      </w:pPr>
    </w:p>
    <w:tbl>
      <w:tblPr>
        <w:tblStyle w:val="TableGrid"/>
        <w:tblpPr w:leftFromText="180" w:rightFromText="180" w:vertAnchor="text" w:tblpX="299" w:tblpY="43"/>
        <w:tblW w:w="951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9511"/>
      </w:tblGrid>
      <w:tr w:rsidR="00E60672" w:rsidRPr="00316B1C" w14:paraId="6F4B1696" w14:textId="77777777" w:rsidTr="00A76964">
        <w:trPr>
          <w:trHeight w:val="362"/>
        </w:trPr>
        <w:tc>
          <w:tcPr>
            <w:tcW w:w="9511" w:type="dxa"/>
            <w:tcBorders>
              <w:bottom w:val="single" w:sz="2" w:space="0" w:color="auto"/>
            </w:tcBorders>
            <w:shd w:val="clear" w:color="auto" w:fill="FBD4B4" w:themeFill="accent6" w:themeFillTint="66"/>
            <w:vAlign w:val="center"/>
          </w:tcPr>
          <w:p w14:paraId="5FA8F1A4" w14:textId="21375FDC" w:rsidR="00E60672" w:rsidRPr="005F7072" w:rsidRDefault="00E60672" w:rsidP="00A76964">
            <w:pPr>
              <w:rPr>
                <w:rFonts w:ascii="Calibri" w:eastAsia="Calibri" w:hAnsi="Calibri" w:cs="Times New Roman"/>
                <w:b/>
                <w:sz w:val="24"/>
                <w:szCs w:val="24"/>
                <w:lang w:val="en-GB"/>
              </w:rPr>
            </w:pPr>
            <w:r w:rsidRPr="005F7072">
              <w:rPr>
                <w:rFonts w:ascii="Calibri" w:eastAsia="Calibri" w:hAnsi="Calibri" w:cs="Times New Roman"/>
                <w:b/>
                <w:color w:val="FF0000"/>
                <w:sz w:val="24"/>
                <w:szCs w:val="24"/>
                <w:lang w:val="en-GB"/>
              </w:rPr>
              <w:t>Cluster Template</w:t>
            </w:r>
            <w:r w:rsidR="00472C4D">
              <w:rPr>
                <w:rFonts w:ascii="Calibri" w:eastAsia="Calibri" w:hAnsi="Calibri" w:cs="Times New Roman"/>
                <w:b/>
                <w:color w:val="FF0000"/>
                <w:sz w:val="24"/>
                <w:szCs w:val="24"/>
                <w:lang w:val="en-GB"/>
              </w:rPr>
              <w:t xml:space="preserve"> for Mosul Emergency Appeal (max 2 pages)</w:t>
            </w:r>
          </w:p>
        </w:tc>
      </w:tr>
      <w:tr w:rsidR="00E60672" w:rsidRPr="00316B1C" w14:paraId="76D4B0EC" w14:textId="77777777" w:rsidTr="00A76964">
        <w:trPr>
          <w:trHeight w:val="400"/>
        </w:trPr>
        <w:tc>
          <w:tcPr>
            <w:tcW w:w="9511" w:type="dxa"/>
            <w:tcBorders>
              <w:top w:val="single" w:sz="2" w:space="0" w:color="auto"/>
              <w:bottom w:val="single" w:sz="2" w:space="0" w:color="auto"/>
            </w:tcBorders>
            <w:shd w:val="clear" w:color="auto" w:fill="auto"/>
            <w:vAlign w:val="center"/>
          </w:tcPr>
          <w:p w14:paraId="2EAE7BEB" w14:textId="6465307E" w:rsidR="00E60672" w:rsidRPr="00316B1C" w:rsidRDefault="00316B1C" w:rsidP="00A76964">
            <w:pPr>
              <w:rPr>
                <w:b/>
                <w:sz w:val="20"/>
                <w:szCs w:val="20"/>
                <w:lang w:val="en-GB"/>
              </w:rPr>
            </w:pPr>
            <w:r>
              <w:rPr>
                <w:b/>
                <w:sz w:val="20"/>
                <w:szCs w:val="20"/>
                <w:lang w:val="en-GB"/>
              </w:rPr>
              <w:t>Cluster Contact</w:t>
            </w:r>
            <w:r w:rsidRPr="00316B1C">
              <w:rPr>
                <w:b/>
                <w:sz w:val="20"/>
                <w:szCs w:val="20"/>
                <w:lang w:val="en-GB"/>
              </w:rPr>
              <w:t xml:space="preserve"> Information</w:t>
            </w:r>
            <w:r>
              <w:rPr>
                <w:b/>
                <w:sz w:val="20"/>
                <w:szCs w:val="20"/>
                <w:lang w:val="en-GB"/>
              </w:rPr>
              <w:t>:</w:t>
            </w:r>
          </w:p>
        </w:tc>
      </w:tr>
      <w:tr w:rsidR="00316B1C" w:rsidRPr="00316B1C" w14:paraId="31FD27AA" w14:textId="77777777" w:rsidTr="00A76964">
        <w:trPr>
          <w:trHeight w:val="400"/>
        </w:trPr>
        <w:tc>
          <w:tcPr>
            <w:tcW w:w="9511" w:type="dxa"/>
            <w:tcBorders>
              <w:top w:val="single" w:sz="2" w:space="0" w:color="auto"/>
              <w:bottom w:val="single" w:sz="2" w:space="0" w:color="auto"/>
            </w:tcBorders>
            <w:shd w:val="clear" w:color="auto" w:fill="auto"/>
            <w:vAlign w:val="center"/>
          </w:tcPr>
          <w:p w14:paraId="3130A380" w14:textId="540A3455" w:rsidR="00316B1C" w:rsidRPr="00F1068F" w:rsidRDefault="00F1068F" w:rsidP="00A76964">
            <w:pPr>
              <w:rPr>
                <w:rFonts w:cs="Arial"/>
                <w:i/>
                <w:color w:val="000000"/>
                <w:sz w:val="20"/>
                <w:szCs w:val="20"/>
              </w:rPr>
            </w:pPr>
            <w:r w:rsidRPr="00F1068F">
              <w:rPr>
                <w:rFonts w:cs="Arial"/>
                <w:i/>
                <w:color w:val="000000"/>
                <w:sz w:val="20"/>
                <w:szCs w:val="20"/>
              </w:rPr>
              <w:t>Name, Organization, email address</w:t>
            </w:r>
            <w:r w:rsidR="005F7072">
              <w:rPr>
                <w:rFonts w:cs="Arial"/>
                <w:i/>
                <w:color w:val="000000"/>
                <w:sz w:val="20"/>
                <w:szCs w:val="20"/>
              </w:rPr>
              <w:t xml:space="preserve"> of the Cluster Coordinator and Co-Coordinator</w:t>
            </w:r>
          </w:p>
        </w:tc>
      </w:tr>
      <w:tr w:rsidR="00472C4D" w:rsidRPr="00316B1C" w14:paraId="3AD19945" w14:textId="77777777" w:rsidTr="00A76964">
        <w:trPr>
          <w:trHeight w:val="420"/>
        </w:trPr>
        <w:tc>
          <w:tcPr>
            <w:tcW w:w="9511" w:type="dxa"/>
            <w:tcBorders>
              <w:top w:val="single" w:sz="2" w:space="0" w:color="auto"/>
              <w:bottom w:val="single" w:sz="2" w:space="0" w:color="auto"/>
            </w:tcBorders>
            <w:shd w:val="clear" w:color="auto" w:fill="auto"/>
            <w:vAlign w:val="center"/>
          </w:tcPr>
          <w:p w14:paraId="0854DDE7" w14:textId="0E455FB3" w:rsidR="00472C4D" w:rsidRDefault="00472C4D" w:rsidP="00A76964">
            <w:pPr>
              <w:rPr>
                <w:rFonts w:cs="Arial"/>
                <w:b/>
                <w:color w:val="000000"/>
                <w:sz w:val="20"/>
                <w:szCs w:val="20"/>
              </w:rPr>
            </w:pPr>
            <w:r>
              <w:rPr>
                <w:rFonts w:cs="Arial"/>
                <w:b/>
                <w:color w:val="000000"/>
                <w:sz w:val="20"/>
                <w:szCs w:val="20"/>
              </w:rPr>
              <w:t>General background to the role of the cluster:</w:t>
            </w:r>
          </w:p>
        </w:tc>
      </w:tr>
      <w:tr w:rsidR="00472C4D" w:rsidRPr="00316B1C" w14:paraId="08AA7489" w14:textId="77777777" w:rsidTr="00A76964">
        <w:trPr>
          <w:trHeight w:val="420"/>
        </w:trPr>
        <w:tc>
          <w:tcPr>
            <w:tcW w:w="9511" w:type="dxa"/>
            <w:tcBorders>
              <w:top w:val="single" w:sz="2" w:space="0" w:color="auto"/>
              <w:bottom w:val="single" w:sz="2" w:space="0" w:color="auto"/>
            </w:tcBorders>
            <w:shd w:val="clear" w:color="auto" w:fill="auto"/>
            <w:vAlign w:val="center"/>
          </w:tcPr>
          <w:p w14:paraId="5E437C10" w14:textId="77777777" w:rsidR="00472C4D" w:rsidRDefault="00472C4D" w:rsidP="00A76964">
            <w:pPr>
              <w:rPr>
                <w:rFonts w:cs="Arial"/>
                <w:i/>
                <w:color w:val="000000"/>
                <w:sz w:val="20"/>
                <w:szCs w:val="20"/>
              </w:rPr>
            </w:pPr>
            <w:r w:rsidRPr="00472C4D">
              <w:rPr>
                <w:rFonts w:cs="Arial"/>
                <w:i/>
                <w:color w:val="000000"/>
                <w:sz w:val="20"/>
                <w:szCs w:val="20"/>
              </w:rPr>
              <w:t xml:space="preserve">Please refer to your respective sections in the Mosul Flash Appeal and revise as necessary </w:t>
            </w:r>
          </w:p>
          <w:p w14:paraId="779E22D0" w14:textId="4D8C6298" w:rsidR="00686781" w:rsidRPr="00EA2E60" w:rsidRDefault="00686781" w:rsidP="00A76964">
            <w:pPr>
              <w:rPr>
                <w:rFonts w:cs="Arial"/>
                <w:color w:val="000000"/>
                <w:sz w:val="20"/>
                <w:szCs w:val="20"/>
              </w:rPr>
            </w:pPr>
            <w:r w:rsidRPr="00EA2E60">
              <w:rPr>
                <w:rFonts w:cs="Arial"/>
                <w:color w:val="000000"/>
                <w:sz w:val="20"/>
                <w:szCs w:val="20"/>
              </w:rPr>
              <w:t>The Shelter and Non-Food Items Cluster helps to ensure that conflict impacted families are able to live in safety and with dignity by: providing newly displaced families with covered emergency shelter and season sensitive household items essential for their day-to-day survival. Extended provision is also provided through support to vulnerable resident groups, including hosted families, host communities, settled families for interventions including upgrade and repair unsafe and substandard shelters, rental support and the provision of asset replacement.</w:t>
            </w:r>
          </w:p>
        </w:tc>
      </w:tr>
      <w:tr w:rsidR="00316B1C" w:rsidRPr="00316B1C" w14:paraId="601D7039" w14:textId="77777777" w:rsidTr="00A76964">
        <w:trPr>
          <w:trHeight w:val="420"/>
        </w:trPr>
        <w:tc>
          <w:tcPr>
            <w:tcW w:w="9511" w:type="dxa"/>
            <w:tcBorders>
              <w:top w:val="single" w:sz="2" w:space="0" w:color="auto"/>
              <w:bottom w:val="single" w:sz="2" w:space="0" w:color="auto"/>
            </w:tcBorders>
            <w:shd w:val="clear" w:color="auto" w:fill="auto"/>
            <w:vAlign w:val="center"/>
          </w:tcPr>
          <w:p w14:paraId="636CCDBB" w14:textId="539D2585" w:rsidR="00316B1C" w:rsidRPr="00316B1C" w:rsidRDefault="009E6EA8" w:rsidP="00472C4D">
            <w:pPr>
              <w:rPr>
                <w:rFonts w:cs="Arial"/>
                <w:b/>
                <w:color w:val="000000"/>
                <w:sz w:val="20"/>
                <w:szCs w:val="20"/>
              </w:rPr>
            </w:pPr>
            <w:r>
              <w:rPr>
                <w:rFonts w:cs="Arial"/>
                <w:b/>
                <w:color w:val="000000"/>
                <w:sz w:val="20"/>
                <w:szCs w:val="20"/>
              </w:rPr>
              <w:t>Key achievements thus far within the framework of the Mosul FA:</w:t>
            </w:r>
          </w:p>
        </w:tc>
      </w:tr>
      <w:tr w:rsidR="00316B1C" w:rsidRPr="00316B1C" w14:paraId="1F9AB6EF" w14:textId="77777777" w:rsidTr="005F7072">
        <w:trPr>
          <w:trHeight w:val="454"/>
        </w:trPr>
        <w:tc>
          <w:tcPr>
            <w:tcW w:w="9511" w:type="dxa"/>
            <w:tcBorders>
              <w:top w:val="single" w:sz="2" w:space="0" w:color="auto"/>
              <w:bottom w:val="single" w:sz="2" w:space="0" w:color="auto"/>
            </w:tcBorders>
            <w:shd w:val="clear" w:color="auto" w:fill="auto"/>
            <w:vAlign w:val="center"/>
          </w:tcPr>
          <w:p w14:paraId="66F7FA6E" w14:textId="77777777" w:rsidR="00316B1C" w:rsidRDefault="009E6EA8" w:rsidP="00472C4D">
            <w:pPr>
              <w:rPr>
                <w:rFonts w:cs="Arial"/>
                <w:i/>
                <w:color w:val="000000"/>
                <w:sz w:val="20"/>
                <w:szCs w:val="20"/>
              </w:rPr>
            </w:pPr>
            <w:r>
              <w:rPr>
                <w:rFonts w:cs="Arial"/>
                <w:i/>
                <w:color w:val="000000"/>
                <w:sz w:val="20"/>
                <w:szCs w:val="20"/>
              </w:rPr>
              <w:t>Briefly describe the key results (where possible quantified) a</w:t>
            </w:r>
            <w:r w:rsidR="00472C4D">
              <w:rPr>
                <w:rFonts w:cs="Arial"/>
                <w:i/>
                <w:color w:val="000000"/>
                <w:sz w:val="20"/>
                <w:szCs w:val="20"/>
              </w:rPr>
              <w:t xml:space="preserve">ttained </w:t>
            </w:r>
            <w:r>
              <w:rPr>
                <w:rFonts w:cs="Arial"/>
                <w:i/>
                <w:color w:val="000000"/>
                <w:sz w:val="20"/>
                <w:szCs w:val="20"/>
              </w:rPr>
              <w:t xml:space="preserve">within the framework of the Mosul </w:t>
            </w:r>
            <w:r w:rsidR="00472C4D">
              <w:rPr>
                <w:rFonts w:cs="Arial"/>
                <w:i/>
                <w:color w:val="000000"/>
                <w:sz w:val="20"/>
                <w:szCs w:val="20"/>
              </w:rPr>
              <w:t>(</w:t>
            </w:r>
            <w:r>
              <w:rPr>
                <w:rFonts w:cs="Arial"/>
                <w:i/>
                <w:color w:val="000000"/>
                <w:sz w:val="20"/>
                <w:szCs w:val="20"/>
              </w:rPr>
              <w:t>Preparedness</w:t>
            </w:r>
            <w:r w:rsidR="00472C4D">
              <w:rPr>
                <w:rFonts w:cs="Arial"/>
                <w:i/>
                <w:color w:val="000000"/>
                <w:sz w:val="20"/>
                <w:szCs w:val="20"/>
              </w:rPr>
              <w:t>)</w:t>
            </w:r>
            <w:r>
              <w:rPr>
                <w:rFonts w:cs="Arial"/>
                <w:i/>
                <w:color w:val="000000"/>
                <w:sz w:val="20"/>
                <w:szCs w:val="20"/>
              </w:rPr>
              <w:t xml:space="preserve"> Flash Appeal and total number of people reached with assistance (</w:t>
            </w:r>
            <w:r w:rsidR="00472C4D">
              <w:rPr>
                <w:rFonts w:cs="Arial"/>
                <w:i/>
                <w:color w:val="000000"/>
                <w:sz w:val="20"/>
                <w:szCs w:val="20"/>
              </w:rPr>
              <w:t xml:space="preserve">approx.. 5 bullet points) </w:t>
            </w:r>
          </w:p>
          <w:p w14:paraId="4D2FF24C" w14:textId="77777777" w:rsidR="00686781" w:rsidRPr="00686781" w:rsidRDefault="00686781" w:rsidP="00686781">
            <w:pPr>
              <w:rPr>
                <w:rFonts w:cs="Arial"/>
                <w:color w:val="000000"/>
                <w:sz w:val="20"/>
                <w:szCs w:val="20"/>
              </w:rPr>
            </w:pPr>
            <w:r w:rsidRPr="00686781">
              <w:rPr>
                <w:rFonts w:cs="Arial"/>
                <w:color w:val="000000"/>
                <w:sz w:val="20"/>
                <w:szCs w:val="20"/>
              </w:rPr>
              <w:t>To date the Cluster has been and will continue to support</w:t>
            </w:r>
          </w:p>
          <w:p w14:paraId="436F2C2B" w14:textId="77777777" w:rsidR="00686781" w:rsidRPr="00686781" w:rsidRDefault="00686781" w:rsidP="00686781">
            <w:pPr>
              <w:rPr>
                <w:rFonts w:cs="Arial"/>
                <w:color w:val="000000"/>
                <w:sz w:val="20"/>
                <w:szCs w:val="20"/>
              </w:rPr>
            </w:pPr>
            <w:r w:rsidRPr="00686781">
              <w:rPr>
                <w:rFonts w:cs="Arial"/>
                <w:color w:val="000000"/>
                <w:sz w:val="20"/>
                <w:szCs w:val="20"/>
              </w:rPr>
              <w:t>1.</w:t>
            </w:r>
            <w:r w:rsidRPr="00686781">
              <w:rPr>
                <w:rFonts w:cs="Arial"/>
                <w:color w:val="000000"/>
                <w:sz w:val="20"/>
                <w:szCs w:val="20"/>
              </w:rPr>
              <w:tab/>
              <w:t xml:space="preserve">Preparations at camp sites with the construction of shelters in the form of tents to support families displaced from Mosul. The Government together with Humanitarian Partners is in the process / has established </w:t>
            </w:r>
            <w:proofErr w:type="spellStart"/>
            <w:r w:rsidRPr="00686781">
              <w:rPr>
                <w:rFonts w:cs="Arial"/>
                <w:color w:val="000000"/>
                <w:sz w:val="20"/>
                <w:szCs w:val="20"/>
              </w:rPr>
              <w:t>xxxx</w:t>
            </w:r>
            <w:proofErr w:type="spellEnd"/>
            <w:r w:rsidRPr="00686781">
              <w:rPr>
                <w:rFonts w:cs="Arial"/>
                <w:color w:val="000000"/>
                <w:sz w:val="20"/>
                <w:szCs w:val="20"/>
              </w:rPr>
              <w:t xml:space="preserve"> camps with </w:t>
            </w:r>
            <w:proofErr w:type="spellStart"/>
            <w:r w:rsidRPr="00686781">
              <w:rPr>
                <w:rFonts w:cs="Arial"/>
                <w:color w:val="000000"/>
                <w:sz w:val="20"/>
                <w:szCs w:val="20"/>
              </w:rPr>
              <w:t>xxxx</w:t>
            </w:r>
            <w:proofErr w:type="spellEnd"/>
            <w:r w:rsidRPr="00686781">
              <w:rPr>
                <w:rFonts w:cs="Arial"/>
                <w:color w:val="000000"/>
                <w:sz w:val="20"/>
                <w:szCs w:val="20"/>
              </w:rPr>
              <w:t xml:space="preserve"> camps in progress. </w:t>
            </w:r>
          </w:p>
          <w:p w14:paraId="1AFE504E" w14:textId="77777777" w:rsidR="00686781" w:rsidRPr="00686781" w:rsidRDefault="00686781" w:rsidP="00686781">
            <w:pPr>
              <w:rPr>
                <w:rFonts w:cs="Arial"/>
                <w:color w:val="000000"/>
                <w:sz w:val="20"/>
                <w:szCs w:val="20"/>
              </w:rPr>
            </w:pPr>
            <w:r w:rsidRPr="00686781">
              <w:rPr>
                <w:rFonts w:cs="Arial"/>
                <w:color w:val="000000"/>
                <w:sz w:val="20"/>
                <w:szCs w:val="20"/>
              </w:rPr>
              <w:t>2.</w:t>
            </w:r>
            <w:r w:rsidRPr="00686781">
              <w:rPr>
                <w:rFonts w:cs="Arial"/>
                <w:color w:val="000000"/>
                <w:sz w:val="20"/>
                <w:szCs w:val="20"/>
              </w:rPr>
              <w:tab/>
              <w:t xml:space="preserve">Prepositioning and distribution of stocks including emergency shelter items and materials for minor repairs and upgrades for both in camp situations as well as assistance / shelter in unfinished and abandoned buildings and other non – camp settings. To date </w:t>
            </w:r>
            <w:proofErr w:type="spellStart"/>
            <w:r w:rsidRPr="00686781">
              <w:rPr>
                <w:rFonts w:cs="Arial"/>
                <w:color w:val="000000"/>
                <w:sz w:val="20"/>
                <w:szCs w:val="20"/>
              </w:rPr>
              <w:t>xxxxxx</w:t>
            </w:r>
            <w:proofErr w:type="spellEnd"/>
            <w:r w:rsidRPr="00686781">
              <w:rPr>
                <w:rFonts w:cs="Arial"/>
                <w:color w:val="000000"/>
                <w:sz w:val="20"/>
                <w:szCs w:val="20"/>
              </w:rPr>
              <w:t xml:space="preserve"> emergency shelter interventions have been implemented with a pipeline / prepositioning of </w:t>
            </w:r>
            <w:proofErr w:type="spellStart"/>
            <w:r w:rsidRPr="00686781">
              <w:rPr>
                <w:rFonts w:cs="Arial"/>
                <w:color w:val="000000"/>
                <w:sz w:val="20"/>
                <w:szCs w:val="20"/>
              </w:rPr>
              <w:t>xxxxxx</w:t>
            </w:r>
            <w:proofErr w:type="spellEnd"/>
            <w:r w:rsidRPr="00686781">
              <w:rPr>
                <w:rFonts w:cs="Arial"/>
                <w:color w:val="000000"/>
                <w:sz w:val="20"/>
                <w:szCs w:val="20"/>
              </w:rPr>
              <w:t xml:space="preserve"> kits established.</w:t>
            </w:r>
          </w:p>
          <w:p w14:paraId="653AE61C" w14:textId="295B7C48" w:rsidR="00686781" w:rsidRPr="00EA2E60" w:rsidRDefault="00686781" w:rsidP="00686781">
            <w:pPr>
              <w:rPr>
                <w:rFonts w:cs="Arial"/>
                <w:color w:val="000000"/>
                <w:sz w:val="20"/>
                <w:szCs w:val="20"/>
              </w:rPr>
            </w:pPr>
            <w:r w:rsidRPr="00686781">
              <w:rPr>
                <w:rFonts w:cs="Arial"/>
                <w:color w:val="000000"/>
                <w:sz w:val="20"/>
                <w:szCs w:val="20"/>
              </w:rPr>
              <w:t>3.</w:t>
            </w:r>
            <w:r w:rsidRPr="00686781">
              <w:rPr>
                <w:rFonts w:cs="Arial"/>
                <w:color w:val="000000"/>
                <w:sz w:val="20"/>
                <w:szCs w:val="20"/>
              </w:rPr>
              <w:tab/>
              <w:t xml:space="preserve">Prepositioning and distribution of basic household supplies including blankets, mattresses, kitchen sets, cooking stoves, heating stoves, solar lanterns.  To date </w:t>
            </w:r>
            <w:proofErr w:type="spellStart"/>
            <w:r w:rsidRPr="00686781">
              <w:rPr>
                <w:rFonts w:cs="Arial"/>
                <w:color w:val="000000"/>
                <w:sz w:val="20"/>
                <w:szCs w:val="20"/>
              </w:rPr>
              <w:t>xxxxxxx</w:t>
            </w:r>
            <w:proofErr w:type="spellEnd"/>
            <w:r w:rsidRPr="00686781">
              <w:rPr>
                <w:rFonts w:cs="Arial"/>
                <w:color w:val="000000"/>
                <w:sz w:val="20"/>
                <w:szCs w:val="20"/>
              </w:rPr>
              <w:t xml:space="preserve"> basic household kits have been implemented with a pipeline / prepositioning of </w:t>
            </w:r>
            <w:proofErr w:type="spellStart"/>
            <w:r w:rsidRPr="00686781">
              <w:rPr>
                <w:rFonts w:cs="Arial"/>
                <w:color w:val="000000"/>
                <w:sz w:val="20"/>
                <w:szCs w:val="20"/>
              </w:rPr>
              <w:t>xxxxxx</w:t>
            </w:r>
            <w:proofErr w:type="spellEnd"/>
            <w:r w:rsidRPr="00686781">
              <w:rPr>
                <w:rFonts w:cs="Arial"/>
                <w:color w:val="000000"/>
                <w:sz w:val="20"/>
                <w:szCs w:val="20"/>
              </w:rPr>
              <w:t xml:space="preserve"> kits established.</w:t>
            </w:r>
          </w:p>
        </w:tc>
      </w:tr>
      <w:tr w:rsidR="008F7A64" w:rsidRPr="00316B1C" w14:paraId="78E1BC58" w14:textId="77777777" w:rsidTr="005F7072">
        <w:trPr>
          <w:trHeight w:val="454"/>
        </w:trPr>
        <w:tc>
          <w:tcPr>
            <w:tcW w:w="9511" w:type="dxa"/>
            <w:tcBorders>
              <w:top w:val="single" w:sz="2" w:space="0" w:color="auto"/>
              <w:bottom w:val="single" w:sz="2" w:space="0" w:color="auto"/>
            </w:tcBorders>
            <w:shd w:val="clear" w:color="auto" w:fill="auto"/>
            <w:vAlign w:val="center"/>
          </w:tcPr>
          <w:p w14:paraId="120F8804" w14:textId="27ED5252" w:rsidR="00F47E62" w:rsidRPr="00F47E62" w:rsidRDefault="00472C4D" w:rsidP="00385D09">
            <w:pPr>
              <w:rPr>
                <w:rFonts w:cs="Arial"/>
                <w:b/>
                <w:color w:val="000000"/>
                <w:sz w:val="20"/>
                <w:szCs w:val="20"/>
              </w:rPr>
            </w:pPr>
            <w:r>
              <w:rPr>
                <w:rFonts w:cs="Arial"/>
                <w:b/>
                <w:color w:val="000000"/>
                <w:sz w:val="20"/>
                <w:szCs w:val="20"/>
              </w:rPr>
              <w:t>Most critical, current and imminent humanitarian needs:</w:t>
            </w:r>
          </w:p>
        </w:tc>
      </w:tr>
      <w:tr w:rsidR="008F7A64" w:rsidRPr="00316B1C" w14:paraId="169F9832" w14:textId="77777777" w:rsidTr="008F7A64">
        <w:trPr>
          <w:trHeight w:val="666"/>
        </w:trPr>
        <w:tc>
          <w:tcPr>
            <w:tcW w:w="9511" w:type="dxa"/>
            <w:tcBorders>
              <w:top w:val="single" w:sz="2" w:space="0" w:color="auto"/>
              <w:bottom w:val="single" w:sz="2" w:space="0" w:color="auto"/>
            </w:tcBorders>
            <w:shd w:val="clear" w:color="auto" w:fill="auto"/>
            <w:vAlign w:val="center"/>
          </w:tcPr>
          <w:p w14:paraId="4711AF12" w14:textId="77777777" w:rsidR="008F7A64" w:rsidRDefault="00385D09" w:rsidP="00472C4D">
            <w:pPr>
              <w:rPr>
                <w:rFonts w:cs="Arial"/>
                <w:i/>
                <w:color w:val="000000"/>
                <w:sz w:val="20"/>
                <w:szCs w:val="20"/>
              </w:rPr>
            </w:pPr>
            <w:r>
              <w:rPr>
                <w:rFonts w:cs="Arial"/>
                <w:i/>
                <w:color w:val="000000"/>
                <w:sz w:val="20"/>
                <w:szCs w:val="20"/>
              </w:rPr>
              <w:t xml:space="preserve">Provide a brief description of the most urgent </w:t>
            </w:r>
            <w:r w:rsidR="00472C4D">
              <w:rPr>
                <w:rFonts w:cs="Arial"/>
                <w:i/>
                <w:color w:val="000000"/>
                <w:sz w:val="20"/>
                <w:szCs w:val="20"/>
              </w:rPr>
              <w:t xml:space="preserve">and critical </w:t>
            </w:r>
            <w:r>
              <w:rPr>
                <w:rFonts w:cs="Arial"/>
                <w:i/>
                <w:color w:val="000000"/>
                <w:sz w:val="20"/>
                <w:szCs w:val="20"/>
              </w:rPr>
              <w:t xml:space="preserve">humanitarian needs among vulnerable groups of concern to your </w:t>
            </w:r>
            <w:r w:rsidR="00472C4D">
              <w:rPr>
                <w:rFonts w:cs="Arial"/>
                <w:i/>
                <w:color w:val="000000"/>
                <w:sz w:val="20"/>
                <w:szCs w:val="20"/>
              </w:rPr>
              <w:t>c</w:t>
            </w:r>
            <w:r>
              <w:rPr>
                <w:rFonts w:cs="Arial"/>
                <w:i/>
                <w:color w:val="000000"/>
                <w:sz w:val="20"/>
                <w:szCs w:val="20"/>
              </w:rPr>
              <w:t xml:space="preserve">luster, taking into account section 2 of the </w:t>
            </w:r>
            <w:r w:rsidR="00472C4D">
              <w:rPr>
                <w:rFonts w:cs="Arial"/>
                <w:i/>
                <w:color w:val="000000"/>
                <w:sz w:val="20"/>
                <w:szCs w:val="20"/>
              </w:rPr>
              <w:t>c</w:t>
            </w:r>
            <w:r>
              <w:rPr>
                <w:rFonts w:cs="Arial"/>
                <w:i/>
                <w:color w:val="000000"/>
                <w:sz w:val="20"/>
                <w:szCs w:val="20"/>
              </w:rPr>
              <w:t xml:space="preserve">oncept </w:t>
            </w:r>
            <w:r w:rsidR="00472C4D">
              <w:rPr>
                <w:rFonts w:cs="Arial"/>
                <w:i/>
                <w:color w:val="000000"/>
                <w:sz w:val="20"/>
                <w:szCs w:val="20"/>
              </w:rPr>
              <w:t>n</w:t>
            </w:r>
            <w:r>
              <w:rPr>
                <w:rFonts w:cs="Arial"/>
                <w:i/>
                <w:color w:val="000000"/>
                <w:sz w:val="20"/>
                <w:szCs w:val="20"/>
              </w:rPr>
              <w:t>ote on caseload</w:t>
            </w:r>
            <w:r w:rsidR="00472C4D">
              <w:rPr>
                <w:rFonts w:cs="Arial"/>
                <w:i/>
                <w:color w:val="000000"/>
                <w:sz w:val="20"/>
                <w:szCs w:val="20"/>
              </w:rPr>
              <w:t>. Quantify where possible</w:t>
            </w:r>
          </w:p>
          <w:p w14:paraId="2A6C44FE" w14:textId="2DD91BF7" w:rsidR="00F47E62" w:rsidRPr="00F47E62" w:rsidRDefault="0076784C" w:rsidP="00F51011">
            <w:pPr>
              <w:rPr>
                <w:rFonts w:cs="Arial"/>
                <w:color w:val="000000"/>
                <w:sz w:val="20"/>
                <w:szCs w:val="20"/>
              </w:rPr>
            </w:pPr>
            <w:r>
              <w:rPr>
                <w:rFonts w:cs="Arial"/>
                <w:color w:val="000000"/>
                <w:sz w:val="20"/>
                <w:szCs w:val="20"/>
              </w:rPr>
              <w:t>P</w:t>
            </w:r>
            <w:r w:rsidR="00F47E62">
              <w:rPr>
                <w:rFonts w:cs="Arial"/>
                <w:color w:val="000000"/>
                <w:sz w:val="20"/>
                <w:szCs w:val="20"/>
              </w:rPr>
              <w:t>revious Shelter/NFI response</w:t>
            </w:r>
            <w:r>
              <w:rPr>
                <w:rFonts w:cs="Arial"/>
                <w:color w:val="000000"/>
                <w:sz w:val="20"/>
                <w:szCs w:val="20"/>
              </w:rPr>
              <w:t>, as Mosul humanitarian response planning in general</w:t>
            </w:r>
            <w:r w:rsidR="00F47E62">
              <w:rPr>
                <w:rFonts w:cs="Arial"/>
                <w:color w:val="000000"/>
                <w:sz w:val="20"/>
                <w:szCs w:val="20"/>
              </w:rPr>
              <w:t xml:space="preserve"> focused</w:t>
            </w:r>
            <w:r>
              <w:rPr>
                <w:rFonts w:cs="Arial"/>
                <w:color w:val="000000"/>
                <w:sz w:val="20"/>
                <w:szCs w:val="20"/>
              </w:rPr>
              <w:t xml:space="preserve"> on displaced as primary beneficiary group and in-camp settings as predominant response orientation. </w:t>
            </w:r>
            <w:r w:rsidR="00154CF5">
              <w:rPr>
                <w:rFonts w:cs="Arial"/>
                <w:color w:val="000000"/>
                <w:sz w:val="20"/>
                <w:szCs w:val="20"/>
              </w:rPr>
              <w:t xml:space="preserve">As the Mosul </w:t>
            </w:r>
            <w:r w:rsidR="0049271D">
              <w:rPr>
                <w:rFonts w:cs="Arial"/>
                <w:color w:val="000000"/>
                <w:sz w:val="20"/>
                <w:szCs w:val="20"/>
              </w:rPr>
              <w:t xml:space="preserve">operation </w:t>
            </w:r>
            <w:r w:rsidR="00154CF5">
              <w:rPr>
                <w:rFonts w:cs="Arial"/>
                <w:color w:val="000000"/>
                <w:sz w:val="20"/>
                <w:szCs w:val="20"/>
              </w:rPr>
              <w:t xml:space="preserve">unfolds, there is increasing evidence that the campaign is likely to cause less displacement than expected, that however, different and a more diversified range of people and populations are affected. Hence, Shelter/NFI response </w:t>
            </w:r>
            <w:r w:rsidR="004F5EA6">
              <w:rPr>
                <w:rFonts w:cs="Arial"/>
                <w:color w:val="000000"/>
                <w:sz w:val="20"/>
                <w:szCs w:val="20"/>
              </w:rPr>
              <w:t>shifts from the understanding of providing a basic roofs and essential items to displaced into a much broader meaning of shelter assistance as a precondition to ensure safety, dignity and wellbeing of beneficiaries, besides representing one essential lever to enable people to get back into normal living situations.</w:t>
            </w:r>
            <w:r w:rsidR="00154CF5">
              <w:rPr>
                <w:rFonts w:cs="Arial"/>
                <w:color w:val="000000"/>
                <w:sz w:val="20"/>
                <w:szCs w:val="20"/>
              </w:rPr>
              <w:t xml:space="preserve"> Thus, the possible caseload comprises of displaced, hosts, returnees and “</w:t>
            </w:r>
            <w:proofErr w:type="spellStart"/>
            <w:r w:rsidR="00154CF5">
              <w:rPr>
                <w:rFonts w:cs="Arial"/>
                <w:color w:val="000000"/>
                <w:sz w:val="20"/>
                <w:szCs w:val="20"/>
              </w:rPr>
              <w:t>stayeees</w:t>
            </w:r>
            <w:proofErr w:type="spellEnd"/>
            <w:r w:rsidR="00154CF5">
              <w:rPr>
                <w:rFonts w:cs="Arial"/>
                <w:color w:val="000000"/>
                <w:sz w:val="20"/>
                <w:szCs w:val="20"/>
              </w:rPr>
              <w:t>’ – people who did not leave their homes.</w:t>
            </w:r>
            <w:r>
              <w:rPr>
                <w:rFonts w:cs="Arial"/>
                <w:color w:val="000000"/>
                <w:sz w:val="20"/>
                <w:szCs w:val="20"/>
              </w:rPr>
              <w:t xml:space="preserve"> </w:t>
            </w:r>
            <w:r w:rsidR="004F5EA6">
              <w:rPr>
                <w:rFonts w:cs="Arial"/>
                <w:color w:val="000000"/>
                <w:sz w:val="20"/>
                <w:szCs w:val="20"/>
              </w:rPr>
              <w:t xml:space="preserve">In terms of response options, </w:t>
            </w:r>
            <w:r w:rsidR="00DC4A38">
              <w:rPr>
                <w:rFonts w:cs="Arial"/>
                <w:color w:val="000000"/>
                <w:sz w:val="20"/>
                <w:szCs w:val="20"/>
              </w:rPr>
              <w:t>Shelter/NFI response, to a great extent focused on, Shelter/NFI-kit-based modalities, whose basic contents could be flexibly adapted to specific needs and seasonal specificities</w:t>
            </w:r>
            <w:r w:rsidR="00F51011">
              <w:rPr>
                <w:rFonts w:cs="Arial"/>
                <w:color w:val="000000"/>
                <w:sz w:val="20"/>
                <w:szCs w:val="20"/>
              </w:rPr>
              <w:t>, in camp environments</w:t>
            </w:r>
            <w:r w:rsidR="00DC4A38">
              <w:rPr>
                <w:rFonts w:cs="Arial"/>
                <w:color w:val="000000"/>
                <w:sz w:val="20"/>
                <w:szCs w:val="20"/>
              </w:rPr>
              <w:t>. This flexibility still allows to serve a range of diversified beneficiary groups in different</w:t>
            </w:r>
            <w:r w:rsidR="00F51011">
              <w:rPr>
                <w:rFonts w:cs="Arial"/>
                <w:color w:val="000000"/>
                <w:sz w:val="20"/>
                <w:szCs w:val="20"/>
              </w:rPr>
              <w:t xml:space="preserve"> living situations, camp- or non-camp settings.</w:t>
            </w:r>
            <w:r w:rsidR="00DC4A38">
              <w:rPr>
                <w:rFonts w:cs="Arial"/>
                <w:color w:val="000000"/>
                <w:sz w:val="20"/>
                <w:szCs w:val="20"/>
              </w:rPr>
              <w:t xml:space="preserve"> </w:t>
            </w:r>
            <w:r w:rsidR="00F51011">
              <w:rPr>
                <w:rFonts w:cs="Arial"/>
                <w:color w:val="000000"/>
                <w:sz w:val="20"/>
                <w:szCs w:val="20"/>
              </w:rPr>
              <w:t>T</w:t>
            </w:r>
            <w:r w:rsidR="00DC4A38">
              <w:rPr>
                <w:rFonts w:cs="Arial"/>
                <w:color w:val="000000"/>
                <w:sz w:val="20"/>
                <w:szCs w:val="20"/>
              </w:rPr>
              <w:t xml:space="preserve">he scope of possible options needs however to be expanded into more beneficiary-specific targeted programming, focused on and stabilization of peoples’ living environments and strengthening of communities’ resilience. </w:t>
            </w:r>
          </w:p>
        </w:tc>
      </w:tr>
      <w:tr w:rsidR="00316B1C" w:rsidRPr="00316B1C" w14:paraId="193B6E26" w14:textId="77777777" w:rsidTr="009D3CE4">
        <w:trPr>
          <w:trHeight w:val="439"/>
        </w:trPr>
        <w:tc>
          <w:tcPr>
            <w:tcW w:w="9511" w:type="dxa"/>
            <w:tcBorders>
              <w:top w:val="single" w:sz="2" w:space="0" w:color="auto"/>
            </w:tcBorders>
            <w:vAlign w:val="center"/>
          </w:tcPr>
          <w:p w14:paraId="030606B1" w14:textId="5C0E6C17" w:rsidR="00316B1C" w:rsidRPr="00316B1C" w:rsidRDefault="00472C4D" w:rsidP="00385D09">
            <w:pPr>
              <w:rPr>
                <w:sz w:val="20"/>
                <w:szCs w:val="20"/>
              </w:rPr>
            </w:pPr>
            <w:r>
              <w:rPr>
                <w:rFonts w:cs="Arial"/>
                <w:b/>
                <w:color w:val="000000"/>
                <w:sz w:val="20"/>
                <w:szCs w:val="20"/>
              </w:rPr>
              <w:t>Key preparedness and response priorities until end March 2017:</w:t>
            </w:r>
          </w:p>
        </w:tc>
      </w:tr>
      <w:tr w:rsidR="00316B1C" w:rsidRPr="00316B1C" w14:paraId="3637D405" w14:textId="77777777" w:rsidTr="00A76964">
        <w:trPr>
          <w:trHeight w:val="1161"/>
        </w:trPr>
        <w:tc>
          <w:tcPr>
            <w:tcW w:w="9511" w:type="dxa"/>
            <w:tcBorders>
              <w:top w:val="single" w:sz="2" w:space="0" w:color="auto"/>
            </w:tcBorders>
            <w:vAlign w:val="center"/>
          </w:tcPr>
          <w:p w14:paraId="6765A8D5" w14:textId="4048B1BE" w:rsidR="00316B1C" w:rsidRDefault="00385D09" w:rsidP="00472C4D">
            <w:pPr>
              <w:rPr>
                <w:i/>
                <w:sz w:val="20"/>
                <w:szCs w:val="20"/>
              </w:rPr>
            </w:pPr>
            <w:r>
              <w:rPr>
                <w:i/>
                <w:sz w:val="20"/>
                <w:szCs w:val="20"/>
              </w:rPr>
              <w:t>Taking into account sections 1, 2, and 3 of the concept note, d</w:t>
            </w:r>
            <w:r w:rsidR="00316B1C" w:rsidRPr="00316B1C">
              <w:rPr>
                <w:i/>
                <w:sz w:val="20"/>
                <w:szCs w:val="20"/>
              </w:rPr>
              <w:t>escribe</w:t>
            </w:r>
            <w:r w:rsidR="00803810">
              <w:rPr>
                <w:i/>
                <w:sz w:val="20"/>
                <w:szCs w:val="20"/>
              </w:rPr>
              <w:t xml:space="preserve"> </w:t>
            </w:r>
            <w:r>
              <w:rPr>
                <w:i/>
                <w:sz w:val="20"/>
                <w:szCs w:val="20"/>
              </w:rPr>
              <w:t xml:space="preserve">the </w:t>
            </w:r>
            <w:r w:rsidR="005F7072">
              <w:rPr>
                <w:i/>
                <w:sz w:val="20"/>
                <w:szCs w:val="20"/>
              </w:rPr>
              <w:t xml:space="preserve">key priority </w:t>
            </w:r>
            <w:r w:rsidR="00942938">
              <w:rPr>
                <w:i/>
                <w:sz w:val="20"/>
                <w:szCs w:val="20"/>
              </w:rPr>
              <w:t xml:space="preserve">(final) </w:t>
            </w:r>
            <w:r>
              <w:rPr>
                <w:i/>
                <w:sz w:val="20"/>
                <w:szCs w:val="20"/>
              </w:rPr>
              <w:t xml:space="preserve">preparatory and </w:t>
            </w:r>
            <w:r w:rsidR="005F7072">
              <w:rPr>
                <w:i/>
                <w:sz w:val="20"/>
                <w:szCs w:val="20"/>
              </w:rPr>
              <w:t>response actions</w:t>
            </w:r>
            <w:r w:rsidR="00472C4D">
              <w:rPr>
                <w:i/>
                <w:sz w:val="20"/>
                <w:szCs w:val="20"/>
              </w:rPr>
              <w:t xml:space="preserve"> (until end-March)</w:t>
            </w:r>
            <w:r w:rsidR="00803810">
              <w:rPr>
                <w:i/>
                <w:sz w:val="20"/>
                <w:szCs w:val="20"/>
              </w:rPr>
              <w:t>,</w:t>
            </w:r>
            <w:r w:rsidR="00316B1C" w:rsidRPr="00316B1C">
              <w:rPr>
                <w:i/>
                <w:sz w:val="20"/>
                <w:szCs w:val="20"/>
              </w:rPr>
              <w:t xml:space="preserve"> t</w:t>
            </w:r>
            <w:r>
              <w:rPr>
                <w:i/>
                <w:sz w:val="20"/>
                <w:szCs w:val="20"/>
              </w:rPr>
              <w:t xml:space="preserve">o address the above </w:t>
            </w:r>
            <w:r w:rsidR="00942938">
              <w:rPr>
                <w:i/>
                <w:sz w:val="20"/>
                <w:szCs w:val="20"/>
              </w:rPr>
              <w:t>described</w:t>
            </w:r>
            <w:r>
              <w:rPr>
                <w:i/>
                <w:sz w:val="20"/>
                <w:szCs w:val="20"/>
              </w:rPr>
              <w:t xml:space="preserve"> humanitarian </w:t>
            </w:r>
            <w:r w:rsidR="00472C4D">
              <w:rPr>
                <w:i/>
                <w:sz w:val="20"/>
                <w:szCs w:val="20"/>
              </w:rPr>
              <w:t xml:space="preserve">needs. Quantify where possible </w:t>
            </w:r>
            <w:r w:rsidR="00803810">
              <w:rPr>
                <w:i/>
                <w:sz w:val="20"/>
                <w:szCs w:val="20"/>
              </w:rPr>
              <w:t>(</w:t>
            </w:r>
            <w:r w:rsidR="00472C4D">
              <w:rPr>
                <w:i/>
                <w:sz w:val="20"/>
                <w:szCs w:val="20"/>
              </w:rPr>
              <w:t xml:space="preserve">approx.. 7 bullet points) </w:t>
            </w:r>
          </w:p>
          <w:p w14:paraId="322CB4E4" w14:textId="48744436" w:rsidR="00DC4A38" w:rsidRDefault="00F51011" w:rsidP="00472C4D">
            <w:pPr>
              <w:rPr>
                <w:sz w:val="20"/>
                <w:szCs w:val="20"/>
              </w:rPr>
            </w:pPr>
            <w:r>
              <w:rPr>
                <w:sz w:val="20"/>
                <w:szCs w:val="20"/>
              </w:rPr>
              <w:t>Key priority Shelter/NFI response actions can be summarized as follows:</w:t>
            </w:r>
          </w:p>
          <w:p w14:paraId="29A20A5C" w14:textId="701DC8A8" w:rsidR="00F51011" w:rsidRPr="00EA2E60" w:rsidRDefault="00F51011" w:rsidP="00EA2E60">
            <w:pPr>
              <w:pStyle w:val="ListParagraph"/>
              <w:numPr>
                <w:ilvl w:val="0"/>
                <w:numId w:val="9"/>
              </w:numPr>
              <w:rPr>
                <w:sz w:val="20"/>
                <w:szCs w:val="20"/>
              </w:rPr>
            </w:pPr>
            <w:r w:rsidRPr="00EA2E60">
              <w:rPr>
                <w:sz w:val="20"/>
                <w:szCs w:val="20"/>
              </w:rPr>
              <w:t>Maintain and reinforce solid stocks and strong replenishment pipelines for kit-based flexible emergency response, especially under consideration that stocks are likely to deplete more quickly if a broader range of beneficiaries over expanded geographical areas is served,</w:t>
            </w:r>
          </w:p>
          <w:p w14:paraId="3FD78C02" w14:textId="2D5B05AB" w:rsidR="004A2890" w:rsidRPr="00EA2E60" w:rsidRDefault="004A2890" w:rsidP="00EA2E60">
            <w:pPr>
              <w:pStyle w:val="ListParagraph"/>
              <w:numPr>
                <w:ilvl w:val="0"/>
                <w:numId w:val="9"/>
              </w:numPr>
              <w:rPr>
                <w:sz w:val="20"/>
                <w:szCs w:val="20"/>
              </w:rPr>
            </w:pPr>
            <w:r w:rsidRPr="00EA2E60">
              <w:rPr>
                <w:sz w:val="20"/>
                <w:szCs w:val="20"/>
              </w:rPr>
              <w:t xml:space="preserve">Implement quick and flexible emergency shelter support activities, driven to effective first-line response for obvious (displaced) and emerging possible beneficiary groups, </w:t>
            </w:r>
          </w:p>
          <w:p w14:paraId="560B5857" w14:textId="755FB775" w:rsidR="00F51011" w:rsidRPr="00EA2E60" w:rsidRDefault="00F51011" w:rsidP="00EA2E60">
            <w:pPr>
              <w:pStyle w:val="ListParagraph"/>
              <w:numPr>
                <w:ilvl w:val="0"/>
                <w:numId w:val="9"/>
              </w:numPr>
              <w:rPr>
                <w:sz w:val="20"/>
                <w:szCs w:val="20"/>
              </w:rPr>
            </w:pPr>
            <w:r w:rsidRPr="00EA2E60">
              <w:rPr>
                <w:sz w:val="20"/>
                <w:szCs w:val="20"/>
              </w:rPr>
              <w:lastRenderedPageBreak/>
              <w:t xml:space="preserve">Complement the current range of response options </w:t>
            </w:r>
            <w:r w:rsidR="000574C7" w:rsidRPr="00EA2E60">
              <w:rPr>
                <w:sz w:val="20"/>
                <w:szCs w:val="20"/>
              </w:rPr>
              <w:t>with flexile, impact oriented alternatives</w:t>
            </w:r>
            <w:r w:rsidR="004A2890" w:rsidRPr="00EA2E60">
              <w:rPr>
                <w:sz w:val="20"/>
                <w:szCs w:val="20"/>
              </w:rPr>
              <w:t>, such as (non-exhaustive listing)</w:t>
            </w:r>
            <w:r w:rsidRPr="00EA2E60">
              <w:rPr>
                <w:sz w:val="20"/>
                <w:szCs w:val="20"/>
              </w:rPr>
              <w:t xml:space="preserve"> </w:t>
            </w:r>
            <w:r w:rsidR="004A2890" w:rsidRPr="00EA2E60">
              <w:rPr>
                <w:sz w:val="20"/>
                <w:szCs w:val="20"/>
              </w:rPr>
              <w:t>cash/voucher approaches, employment programs, basic physical repair of private or public structures, small—grant programs to local entrepreneurs for initial shelter rehabilitation,</w:t>
            </w:r>
          </w:p>
          <w:p w14:paraId="740DF95D" w14:textId="72536A41" w:rsidR="004A2890" w:rsidRPr="00EA2E60" w:rsidRDefault="004A2890" w:rsidP="00EA2E60">
            <w:pPr>
              <w:pStyle w:val="ListParagraph"/>
              <w:numPr>
                <w:ilvl w:val="0"/>
                <w:numId w:val="9"/>
              </w:numPr>
              <w:rPr>
                <w:sz w:val="20"/>
                <w:szCs w:val="20"/>
              </w:rPr>
            </w:pPr>
            <w:r w:rsidRPr="00EA2E60">
              <w:rPr>
                <w:sz w:val="20"/>
                <w:szCs w:val="20"/>
              </w:rPr>
              <w:t>Community-based programs to rehabilitate essential public infrastructure, e.g. schools, health facilities, access roads in vicinity of aforementioned shelter repair interventions,</w:t>
            </w:r>
          </w:p>
          <w:p w14:paraId="17F5384E" w14:textId="47673959" w:rsidR="004A2890" w:rsidRPr="00EA2E60" w:rsidRDefault="004A2890" w:rsidP="00EA2E60">
            <w:pPr>
              <w:pStyle w:val="ListParagraph"/>
              <w:numPr>
                <w:ilvl w:val="0"/>
                <w:numId w:val="9"/>
              </w:numPr>
              <w:rPr>
                <w:sz w:val="20"/>
                <w:szCs w:val="20"/>
              </w:rPr>
            </w:pPr>
            <w:r w:rsidRPr="00EA2E60">
              <w:rPr>
                <w:sz w:val="20"/>
                <w:szCs w:val="20"/>
              </w:rPr>
              <w:t xml:space="preserve">Continued advocacy for development and expansion of the scopes and modalities for shelter response towards effectiveness, stability and sustainability, </w:t>
            </w:r>
          </w:p>
          <w:p w14:paraId="5E0FEBC3" w14:textId="7D1295DD" w:rsidR="004A2890" w:rsidRPr="00EA2E60" w:rsidRDefault="0049271D" w:rsidP="00EA2E60">
            <w:pPr>
              <w:pStyle w:val="ListParagraph"/>
              <w:numPr>
                <w:ilvl w:val="0"/>
                <w:numId w:val="9"/>
              </w:numPr>
              <w:rPr>
                <w:sz w:val="20"/>
                <w:szCs w:val="20"/>
              </w:rPr>
            </w:pPr>
            <w:r w:rsidRPr="00EA2E60">
              <w:rPr>
                <w:sz w:val="20"/>
                <w:szCs w:val="20"/>
              </w:rPr>
              <w:t>Stakeholder – inclusive coordination of Shelter0-NFI stakeholders within the Cluster, between clusters, agencies, government counterparts, donors, beneficiary groups, etc.</w:t>
            </w:r>
          </w:p>
          <w:p w14:paraId="05203973" w14:textId="77777777" w:rsidR="004A2890" w:rsidRDefault="004A2890" w:rsidP="00472C4D">
            <w:pPr>
              <w:rPr>
                <w:sz w:val="20"/>
                <w:szCs w:val="20"/>
              </w:rPr>
            </w:pPr>
          </w:p>
          <w:p w14:paraId="6EF132D4" w14:textId="7AD0BC5B" w:rsidR="00F51011" w:rsidRPr="00EA2E60" w:rsidRDefault="00F51011" w:rsidP="00472C4D">
            <w:pPr>
              <w:rPr>
                <w:sz w:val="20"/>
                <w:szCs w:val="20"/>
              </w:rPr>
            </w:pPr>
          </w:p>
        </w:tc>
      </w:tr>
      <w:tr w:rsidR="00316B1C" w:rsidRPr="00316B1C" w14:paraId="7F8C3CBF" w14:textId="77777777" w:rsidTr="008B5C8B">
        <w:trPr>
          <w:trHeight w:val="638"/>
        </w:trPr>
        <w:tc>
          <w:tcPr>
            <w:tcW w:w="9511" w:type="dxa"/>
            <w:tcBorders>
              <w:top w:val="single" w:sz="2" w:space="0" w:color="auto"/>
            </w:tcBorders>
            <w:vAlign w:val="center"/>
          </w:tcPr>
          <w:p w14:paraId="4D48DE7D" w14:textId="371FD1C5" w:rsidR="00316B1C" w:rsidRPr="00316B1C" w:rsidRDefault="00942938" w:rsidP="00942938">
            <w:pPr>
              <w:rPr>
                <w:b/>
                <w:sz w:val="20"/>
                <w:szCs w:val="20"/>
              </w:rPr>
            </w:pPr>
            <w:r w:rsidRPr="008F7A64">
              <w:rPr>
                <w:b/>
                <w:sz w:val="20"/>
                <w:szCs w:val="20"/>
              </w:rPr>
              <w:lastRenderedPageBreak/>
              <w:t xml:space="preserve">Briefly describe </w:t>
            </w:r>
            <w:r>
              <w:rPr>
                <w:b/>
                <w:sz w:val="20"/>
                <w:szCs w:val="20"/>
              </w:rPr>
              <w:t xml:space="preserve">the </w:t>
            </w:r>
            <w:r w:rsidRPr="008F7A64">
              <w:rPr>
                <w:b/>
                <w:sz w:val="20"/>
                <w:szCs w:val="20"/>
              </w:rPr>
              <w:t>target population</w:t>
            </w:r>
            <w:r>
              <w:rPr>
                <w:b/>
                <w:sz w:val="20"/>
                <w:szCs w:val="20"/>
              </w:rPr>
              <w:t xml:space="preserve"> and provide a total number:</w:t>
            </w:r>
          </w:p>
        </w:tc>
      </w:tr>
      <w:tr w:rsidR="00316B1C" w:rsidRPr="00316B1C" w14:paraId="14ED9817" w14:textId="77777777" w:rsidTr="008B5C8B">
        <w:trPr>
          <w:trHeight w:val="484"/>
        </w:trPr>
        <w:tc>
          <w:tcPr>
            <w:tcW w:w="9511" w:type="dxa"/>
            <w:tcBorders>
              <w:top w:val="single" w:sz="2" w:space="0" w:color="auto"/>
            </w:tcBorders>
            <w:vAlign w:val="center"/>
          </w:tcPr>
          <w:p w14:paraId="42035556" w14:textId="4C9D12DB" w:rsidR="00316B1C" w:rsidRPr="00316B1C" w:rsidRDefault="00942938" w:rsidP="008F7A64">
            <w:pPr>
              <w:jc w:val="both"/>
              <w:rPr>
                <w:i/>
                <w:sz w:val="20"/>
                <w:szCs w:val="20"/>
              </w:rPr>
            </w:pPr>
            <w:r>
              <w:rPr>
                <w:i/>
                <w:sz w:val="20"/>
                <w:szCs w:val="20"/>
              </w:rPr>
              <w:t>Total targeted caseload</w:t>
            </w:r>
            <w:r w:rsidR="00472C4D">
              <w:rPr>
                <w:i/>
                <w:sz w:val="20"/>
                <w:szCs w:val="20"/>
              </w:rPr>
              <w:t>, plus brief narrative description</w:t>
            </w:r>
          </w:p>
        </w:tc>
      </w:tr>
      <w:tr w:rsidR="00803810" w:rsidRPr="00316B1C" w14:paraId="1B856A2B" w14:textId="77777777" w:rsidTr="005F7072">
        <w:trPr>
          <w:trHeight w:val="439"/>
        </w:trPr>
        <w:tc>
          <w:tcPr>
            <w:tcW w:w="9511" w:type="dxa"/>
            <w:tcBorders>
              <w:top w:val="single" w:sz="2" w:space="0" w:color="auto"/>
            </w:tcBorders>
            <w:vAlign w:val="center"/>
          </w:tcPr>
          <w:p w14:paraId="619B3D24" w14:textId="76E0C57B" w:rsidR="00803810" w:rsidRPr="008F7A64" w:rsidRDefault="00942938" w:rsidP="00942938">
            <w:pPr>
              <w:rPr>
                <w:b/>
                <w:sz w:val="20"/>
                <w:szCs w:val="20"/>
              </w:rPr>
            </w:pPr>
            <w:r w:rsidRPr="00316B1C">
              <w:rPr>
                <w:b/>
                <w:sz w:val="20"/>
                <w:szCs w:val="20"/>
              </w:rPr>
              <w:t xml:space="preserve">How much is needed </w:t>
            </w:r>
            <w:r>
              <w:rPr>
                <w:b/>
                <w:sz w:val="20"/>
                <w:szCs w:val="20"/>
                <w:lang w:val="en-GB"/>
              </w:rPr>
              <w:t>until end of March 2017 for the above:</w:t>
            </w:r>
          </w:p>
        </w:tc>
      </w:tr>
      <w:tr w:rsidR="00803810" w:rsidRPr="00316B1C" w14:paraId="7AE10C1A" w14:textId="77777777" w:rsidTr="00803810">
        <w:trPr>
          <w:trHeight w:val="481"/>
        </w:trPr>
        <w:tc>
          <w:tcPr>
            <w:tcW w:w="9511" w:type="dxa"/>
            <w:tcBorders>
              <w:top w:val="single" w:sz="2" w:space="0" w:color="auto"/>
            </w:tcBorders>
            <w:vAlign w:val="center"/>
          </w:tcPr>
          <w:p w14:paraId="6846B029" w14:textId="5B9E4F49" w:rsidR="00803810" w:rsidRPr="00316B1C" w:rsidRDefault="00942938" w:rsidP="00803810">
            <w:pPr>
              <w:rPr>
                <w:i/>
                <w:sz w:val="20"/>
                <w:szCs w:val="20"/>
              </w:rPr>
            </w:pPr>
            <w:r>
              <w:rPr>
                <w:i/>
                <w:sz w:val="20"/>
                <w:szCs w:val="20"/>
              </w:rPr>
              <w:t xml:space="preserve">Provide an as accurate as possible overall financial requirement for the above </w:t>
            </w:r>
          </w:p>
        </w:tc>
      </w:tr>
      <w:tr w:rsidR="00316B1C" w:rsidRPr="00316B1C" w14:paraId="16C5151D" w14:textId="77777777" w:rsidTr="005F7072">
        <w:trPr>
          <w:trHeight w:val="440"/>
        </w:trPr>
        <w:tc>
          <w:tcPr>
            <w:tcW w:w="9511" w:type="dxa"/>
            <w:tcBorders>
              <w:top w:val="single" w:sz="2" w:space="0" w:color="auto"/>
            </w:tcBorders>
            <w:vAlign w:val="center"/>
          </w:tcPr>
          <w:p w14:paraId="79F067A5" w14:textId="44B73321" w:rsidR="00316B1C" w:rsidRPr="00316B1C" w:rsidRDefault="008B5C8B" w:rsidP="00803810">
            <w:pPr>
              <w:rPr>
                <w:b/>
                <w:sz w:val="20"/>
                <w:szCs w:val="20"/>
              </w:rPr>
            </w:pPr>
            <w:r>
              <w:rPr>
                <w:b/>
                <w:sz w:val="20"/>
                <w:szCs w:val="20"/>
              </w:rPr>
              <w:t>C</w:t>
            </w:r>
            <w:r w:rsidR="00316B1C" w:rsidRPr="00316B1C">
              <w:rPr>
                <w:b/>
                <w:sz w:val="20"/>
                <w:szCs w:val="20"/>
              </w:rPr>
              <w:t>luster partners (including emergency assistance to all the caseloads identified above)</w:t>
            </w:r>
            <w:r w:rsidR="005F7072">
              <w:rPr>
                <w:b/>
                <w:sz w:val="20"/>
                <w:szCs w:val="20"/>
              </w:rPr>
              <w:t>:</w:t>
            </w:r>
          </w:p>
        </w:tc>
      </w:tr>
      <w:tr w:rsidR="00316B1C" w:rsidRPr="00316B1C" w14:paraId="03CC6333" w14:textId="77777777" w:rsidTr="00A76964">
        <w:trPr>
          <w:trHeight w:val="456"/>
        </w:trPr>
        <w:tc>
          <w:tcPr>
            <w:tcW w:w="9511" w:type="dxa"/>
            <w:tcBorders>
              <w:top w:val="single" w:sz="2" w:space="0" w:color="auto"/>
            </w:tcBorders>
            <w:vAlign w:val="center"/>
          </w:tcPr>
          <w:p w14:paraId="21C7A9DE" w14:textId="7FC72D94" w:rsidR="00316B1C" w:rsidRPr="00316B1C" w:rsidRDefault="00316B1C" w:rsidP="00472C4D">
            <w:pPr>
              <w:jc w:val="both"/>
              <w:rPr>
                <w:i/>
                <w:sz w:val="20"/>
                <w:szCs w:val="20"/>
              </w:rPr>
            </w:pPr>
            <w:r w:rsidRPr="00316B1C">
              <w:rPr>
                <w:i/>
                <w:sz w:val="20"/>
                <w:szCs w:val="20"/>
              </w:rPr>
              <w:t xml:space="preserve">Provide </w:t>
            </w:r>
            <w:r w:rsidR="00942938">
              <w:rPr>
                <w:i/>
                <w:sz w:val="20"/>
                <w:szCs w:val="20"/>
              </w:rPr>
              <w:t xml:space="preserve">the names of all </w:t>
            </w:r>
            <w:r w:rsidR="00803810">
              <w:rPr>
                <w:i/>
                <w:sz w:val="20"/>
                <w:szCs w:val="20"/>
              </w:rPr>
              <w:t xml:space="preserve">cluster partners </w:t>
            </w:r>
            <w:r w:rsidR="00942938">
              <w:rPr>
                <w:i/>
                <w:sz w:val="20"/>
                <w:szCs w:val="20"/>
              </w:rPr>
              <w:t xml:space="preserve">which are or may be </w:t>
            </w:r>
            <w:r w:rsidR="00803810">
              <w:rPr>
                <w:i/>
                <w:sz w:val="20"/>
                <w:szCs w:val="20"/>
              </w:rPr>
              <w:t xml:space="preserve">involved in the Mosul </w:t>
            </w:r>
            <w:r w:rsidR="00942938">
              <w:rPr>
                <w:i/>
                <w:sz w:val="20"/>
                <w:szCs w:val="20"/>
              </w:rPr>
              <w:t>E</w:t>
            </w:r>
            <w:r w:rsidR="00803810">
              <w:rPr>
                <w:i/>
                <w:sz w:val="20"/>
                <w:szCs w:val="20"/>
              </w:rPr>
              <w:t xml:space="preserve">mergency </w:t>
            </w:r>
            <w:r w:rsidR="00942938">
              <w:rPr>
                <w:i/>
                <w:sz w:val="20"/>
                <w:szCs w:val="20"/>
              </w:rPr>
              <w:t>A</w:t>
            </w:r>
            <w:r w:rsidR="00803810">
              <w:rPr>
                <w:i/>
                <w:sz w:val="20"/>
                <w:szCs w:val="20"/>
              </w:rPr>
              <w:t>ppeal (</w:t>
            </w:r>
            <w:r w:rsidR="00472C4D">
              <w:rPr>
                <w:i/>
                <w:sz w:val="20"/>
                <w:szCs w:val="20"/>
              </w:rPr>
              <w:t xml:space="preserve">note: this is essential for </w:t>
            </w:r>
            <w:r w:rsidR="00803810">
              <w:rPr>
                <w:i/>
                <w:sz w:val="20"/>
                <w:szCs w:val="20"/>
              </w:rPr>
              <w:t>financial tracking</w:t>
            </w:r>
            <w:r w:rsidR="00472C4D">
              <w:rPr>
                <w:i/>
                <w:sz w:val="20"/>
                <w:szCs w:val="20"/>
              </w:rPr>
              <w:t xml:space="preserve"> purposes</w:t>
            </w:r>
            <w:r w:rsidR="00803810">
              <w:rPr>
                <w:i/>
                <w:sz w:val="20"/>
                <w:szCs w:val="20"/>
              </w:rPr>
              <w:t>)</w:t>
            </w:r>
          </w:p>
        </w:tc>
      </w:tr>
    </w:tbl>
    <w:p w14:paraId="01154408" w14:textId="77777777" w:rsidR="00E60672" w:rsidRDefault="00E60672" w:rsidP="00E60672">
      <w:pPr>
        <w:jc w:val="both"/>
        <w:rPr>
          <w:lang w:val="en-US"/>
        </w:rPr>
      </w:pPr>
    </w:p>
    <w:p w14:paraId="5DDECDAA" w14:textId="77777777" w:rsidR="00316B1C" w:rsidRPr="00E60672" w:rsidRDefault="00316B1C" w:rsidP="00E60672">
      <w:pPr>
        <w:jc w:val="both"/>
        <w:rPr>
          <w:lang w:val="en-US"/>
        </w:rPr>
      </w:pPr>
    </w:p>
    <w:sectPr w:rsidR="00316B1C" w:rsidRPr="00E60672" w:rsidSect="000C3F18">
      <w:pgSz w:w="11906" w:h="16838"/>
      <w:pgMar w:top="720"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6CEE"/>
    <w:multiLevelType w:val="hybridMultilevel"/>
    <w:tmpl w:val="58508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B6905"/>
    <w:multiLevelType w:val="hybridMultilevel"/>
    <w:tmpl w:val="ADDEA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E29A1"/>
    <w:multiLevelType w:val="hybridMultilevel"/>
    <w:tmpl w:val="845E6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4413F8"/>
    <w:multiLevelType w:val="hybridMultilevel"/>
    <w:tmpl w:val="B188559E"/>
    <w:lvl w:ilvl="0" w:tplc="934C7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8F15C2"/>
    <w:multiLevelType w:val="hybridMultilevel"/>
    <w:tmpl w:val="FDC077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36A158F"/>
    <w:multiLevelType w:val="hybridMultilevel"/>
    <w:tmpl w:val="68DA0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FC54DA"/>
    <w:multiLevelType w:val="hybridMultilevel"/>
    <w:tmpl w:val="03F66B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B31608F"/>
    <w:multiLevelType w:val="hybridMultilevel"/>
    <w:tmpl w:val="ADDEA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54030A"/>
    <w:multiLevelType w:val="hybridMultilevel"/>
    <w:tmpl w:val="AE881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5"/>
  </w:num>
  <w:num w:numId="5">
    <w:abstractNumId w:val="4"/>
  </w:num>
  <w:num w:numId="6">
    <w:abstractNumId w:val="7"/>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7D3"/>
    <w:rsid w:val="000517D3"/>
    <w:rsid w:val="000574C7"/>
    <w:rsid w:val="0006734C"/>
    <w:rsid w:val="00097009"/>
    <w:rsid w:val="000C3F18"/>
    <w:rsid w:val="000F2569"/>
    <w:rsid w:val="00107EBF"/>
    <w:rsid w:val="00122762"/>
    <w:rsid w:val="00154CF5"/>
    <w:rsid w:val="0019141A"/>
    <w:rsid w:val="001B2713"/>
    <w:rsid w:val="002278C0"/>
    <w:rsid w:val="00252073"/>
    <w:rsid w:val="00274277"/>
    <w:rsid w:val="00293792"/>
    <w:rsid w:val="00294D85"/>
    <w:rsid w:val="002F38AA"/>
    <w:rsid w:val="00316B1C"/>
    <w:rsid w:val="00364C7D"/>
    <w:rsid w:val="00366010"/>
    <w:rsid w:val="00385D09"/>
    <w:rsid w:val="003B39B2"/>
    <w:rsid w:val="00406C71"/>
    <w:rsid w:val="00465278"/>
    <w:rsid w:val="00472C4D"/>
    <w:rsid w:val="0049271D"/>
    <w:rsid w:val="004965DE"/>
    <w:rsid w:val="004A2890"/>
    <w:rsid w:val="004E5AA2"/>
    <w:rsid w:val="004F5EA6"/>
    <w:rsid w:val="005531DE"/>
    <w:rsid w:val="005776AF"/>
    <w:rsid w:val="005948CE"/>
    <w:rsid w:val="005A5841"/>
    <w:rsid w:val="005E787F"/>
    <w:rsid w:val="005F7072"/>
    <w:rsid w:val="00625B85"/>
    <w:rsid w:val="00672483"/>
    <w:rsid w:val="0068446D"/>
    <w:rsid w:val="00686781"/>
    <w:rsid w:val="00686C79"/>
    <w:rsid w:val="006B1B99"/>
    <w:rsid w:val="00717320"/>
    <w:rsid w:val="0076784C"/>
    <w:rsid w:val="00803810"/>
    <w:rsid w:val="00875C16"/>
    <w:rsid w:val="00893660"/>
    <w:rsid w:val="008B13C1"/>
    <w:rsid w:val="008B5C8B"/>
    <w:rsid w:val="008F7A64"/>
    <w:rsid w:val="00910429"/>
    <w:rsid w:val="00942938"/>
    <w:rsid w:val="00983791"/>
    <w:rsid w:val="009D3CE4"/>
    <w:rsid w:val="009E6EA8"/>
    <w:rsid w:val="00A017B4"/>
    <w:rsid w:val="00A24C69"/>
    <w:rsid w:val="00A76964"/>
    <w:rsid w:val="00A82E99"/>
    <w:rsid w:val="00B360B7"/>
    <w:rsid w:val="00C0666F"/>
    <w:rsid w:val="00C316BB"/>
    <w:rsid w:val="00C34E7D"/>
    <w:rsid w:val="00C533E9"/>
    <w:rsid w:val="00C65D3B"/>
    <w:rsid w:val="00CB6922"/>
    <w:rsid w:val="00D70E16"/>
    <w:rsid w:val="00D82ECA"/>
    <w:rsid w:val="00DC4A38"/>
    <w:rsid w:val="00E13DC3"/>
    <w:rsid w:val="00E2019D"/>
    <w:rsid w:val="00E22C6A"/>
    <w:rsid w:val="00E52D8E"/>
    <w:rsid w:val="00E60672"/>
    <w:rsid w:val="00E65D0C"/>
    <w:rsid w:val="00E75EDE"/>
    <w:rsid w:val="00EA2E60"/>
    <w:rsid w:val="00F1068F"/>
    <w:rsid w:val="00F47E62"/>
    <w:rsid w:val="00F51011"/>
    <w:rsid w:val="00FE276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FFB2B"/>
  <w15:docId w15:val="{75E57527-4D47-486B-B379-A6AFB3AE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2278C0"/>
    <w:pPr>
      <w:ind w:left="720"/>
      <w:contextualSpacing/>
    </w:pPr>
  </w:style>
  <w:style w:type="character" w:styleId="CommentReference">
    <w:name w:val="annotation reference"/>
    <w:basedOn w:val="DefaultParagraphFont"/>
    <w:uiPriority w:val="99"/>
    <w:semiHidden/>
    <w:unhideWhenUsed/>
    <w:rsid w:val="00625B85"/>
    <w:rPr>
      <w:sz w:val="18"/>
      <w:szCs w:val="18"/>
    </w:rPr>
  </w:style>
  <w:style w:type="paragraph" w:styleId="CommentText">
    <w:name w:val="annotation text"/>
    <w:basedOn w:val="Normal"/>
    <w:link w:val="CommentTextChar"/>
    <w:uiPriority w:val="99"/>
    <w:semiHidden/>
    <w:unhideWhenUsed/>
    <w:rsid w:val="00625B85"/>
    <w:pPr>
      <w:spacing w:line="240" w:lineRule="auto"/>
    </w:pPr>
    <w:rPr>
      <w:sz w:val="24"/>
      <w:szCs w:val="24"/>
    </w:rPr>
  </w:style>
  <w:style w:type="character" w:customStyle="1" w:styleId="CommentTextChar">
    <w:name w:val="Comment Text Char"/>
    <w:basedOn w:val="DefaultParagraphFont"/>
    <w:link w:val="CommentText"/>
    <w:uiPriority w:val="99"/>
    <w:semiHidden/>
    <w:rsid w:val="00625B85"/>
    <w:rPr>
      <w:sz w:val="24"/>
      <w:szCs w:val="24"/>
    </w:rPr>
  </w:style>
  <w:style w:type="paragraph" w:styleId="CommentSubject">
    <w:name w:val="annotation subject"/>
    <w:basedOn w:val="CommentText"/>
    <w:next w:val="CommentText"/>
    <w:link w:val="CommentSubjectChar"/>
    <w:uiPriority w:val="99"/>
    <w:semiHidden/>
    <w:unhideWhenUsed/>
    <w:rsid w:val="00625B85"/>
    <w:rPr>
      <w:b/>
      <w:bCs/>
      <w:sz w:val="20"/>
      <w:szCs w:val="20"/>
    </w:rPr>
  </w:style>
  <w:style w:type="character" w:customStyle="1" w:styleId="CommentSubjectChar">
    <w:name w:val="Comment Subject Char"/>
    <w:basedOn w:val="CommentTextChar"/>
    <w:link w:val="CommentSubject"/>
    <w:uiPriority w:val="99"/>
    <w:semiHidden/>
    <w:rsid w:val="00625B85"/>
    <w:rPr>
      <w:b/>
      <w:bCs/>
      <w:sz w:val="20"/>
      <w:szCs w:val="20"/>
    </w:rPr>
  </w:style>
  <w:style w:type="paragraph" w:styleId="BalloonText">
    <w:name w:val="Balloon Text"/>
    <w:basedOn w:val="Normal"/>
    <w:link w:val="BalloonTextChar"/>
    <w:uiPriority w:val="99"/>
    <w:semiHidden/>
    <w:unhideWhenUsed/>
    <w:rsid w:val="00625B8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25B85"/>
    <w:rPr>
      <w:rFonts w:ascii="Times New Roman" w:hAnsi="Times New Roman" w:cs="Times New Roman"/>
      <w:sz w:val="18"/>
      <w:szCs w:val="18"/>
    </w:rPr>
  </w:style>
  <w:style w:type="table" w:styleId="TableGrid">
    <w:name w:val="Table Grid"/>
    <w:basedOn w:val="TableNormal"/>
    <w:rsid w:val="00E6067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locked/>
    <w:rsid w:val="00E60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OCHA</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OCHA Iraq</dc:creator>
  <cp:lastModifiedBy>Richard</cp:lastModifiedBy>
  <cp:revision>2</cp:revision>
  <cp:lastPrinted>2016-11-12T11:47:00Z</cp:lastPrinted>
  <dcterms:created xsi:type="dcterms:W3CDTF">2018-04-17T11:26:00Z</dcterms:created>
  <dcterms:modified xsi:type="dcterms:W3CDTF">2018-04-17T11:26:00Z</dcterms:modified>
</cp:coreProperties>
</file>